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424856">
        <w:rPr>
          <w:rFonts w:eastAsia="Times New Roman"/>
          <w:sz w:val="28"/>
          <w:szCs w:val="28"/>
          <w:lang w:eastAsia="en-US"/>
        </w:rPr>
        <w:t>26.01.2022</w:t>
      </w:r>
      <w:r w:rsidR="00C46197">
        <w:rPr>
          <w:rFonts w:eastAsia="Times New Roman"/>
          <w:sz w:val="28"/>
          <w:szCs w:val="28"/>
          <w:lang w:eastAsia="en-US"/>
        </w:rPr>
        <w:t xml:space="preserve">  </w:t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  <w:t xml:space="preserve">         №</w:t>
      </w:r>
      <w:r w:rsidR="00424856">
        <w:rPr>
          <w:rFonts w:eastAsia="Times New Roman"/>
          <w:sz w:val="28"/>
          <w:szCs w:val="28"/>
          <w:lang w:eastAsia="en-US"/>
        </w:rPr>
        <w:t xml:space="preserve"> 25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>решением Думы Ханты-Мансийского района от 17.12.2021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35 «О внесении изменений в решение Думы Ханты-Мансийского района от 25.12.2020 № 679 «О бюджете Ханты-Мансийского района </w:t>
      </w:r>
      <w:r w:rsidR="00C46197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2021 год и плановый период 2022 и 2023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07.09.2018 № 246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решений о разработке муниципальных программ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Ханты-Мансийского района, их формирования, утверждения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и реализации», на основании пункта 10.1 части 1 статьи 27,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>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C46197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</w:t>
            </w:r>
            <w:r w:rsidR="00C46197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>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стимулирование жилищного строительства </w:t>
            </w:r>
            <w:r w:rsidR="00C46197">
              <w:rPr>
                <w:rFonts w:eastAsia="Times New Roman"/>
                <w:sz w:val="28"/>
                <w:szCs w:val="28"/>
              </w:rPr>
              <w:br/>
            </w:r>
            <w:r w:rsidRPr="00D61141">
              <w:rPr>
                <w:rFonts w:eastAsia="Times New Roman"/>
                <w:sz w:val="28"/>
                <w:szCs w:val="28"/>
              </w:rPr>
              <w:t>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  <w:r w:rsidR="00C461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2. Предоставление субсидий и (или) социальных выплат отдельным категориям граждан </w:t>
            </w:r>
            <w:r w:rsidR="00C46197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>на улучшение жилищных условий</w:t>
            </w:r>
            <w:r w:rsidR="00C46197">
              <w:rPr>
                <w:sz w:val="28"/>
                <w:szCs w:val="28"/>
              </w:rPr>
              <w:t>.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</w:t>
            </w:r>
            <w:r w:rsidRPr="00D61141">
              <w:rPr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="00C46197">
              <w:rPr>
                <w:rFonts w:eastAsia="Times New Roman"/>
                <w:sz w:val="28"/>
                <w:szCs w:val="28"/>
              </w:rPr>
              <w:br/>
            </w:r>
            <w:r w:rsidR="00953EA7">
              <w:rPr>
                <w:rFonts w:eastAsia="Times New Roman"/>
                <w:sz w:val="28"/>
                <w:szCs w:val="28"/>
              </w:rPr>
              <w:t>с 6,7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% 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="00C46197">
              <w:rPr>
                <w:sz w:val="28"/>
                <w:szCs w:val="28"/>
              </w:rPr>
              <w:t>. кв. м</w:t>
            </w:r>
            <w:r w:rsidRPr="0082786D">
              <w:rPr>
                <w:sz w:val="28"/>
                <w:szCs w:val="28"/>
              </w:rPr>
              <w:t xml:space="preserve">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6E3" w:rsidRPr="00BA697D">
              <w:rPr>
                <w:sz w:val="28"/>
                <w:szCs w:val="28"/>
              </w:rPr>
              <w:t>64</w:t>
            </w:r>
            <w:r w:rsidR="00657392">
              <w:rPr>
                <w:sz w:val="28"/>
                <w:szCs w:val="28"/>
              </w:rPr>
              <w:t>9 763,9</w:t>
            </w:r>
            <w:r w:rsidR="00DA66E3" w:rsidRPr="00BA697D">
              <w:rPr>
                <w:sz w:val="28"/>
                <w:szCs w:val="28"/>
              </w:rPr>
              <w:t xml:space="preserve"> 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DA66E3" w:rsidRPr="00DA66E3" w:rsidRDefault="007D5F30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Style w:val="FontStyle28"/>
                <w:sz w:val="28"/>
                <w:szCs w:val="28"/>
              </w:rPr>
              <w:t xml:space="preserve">2019 год – </w:t>
            </w:r>
            <w:r w:rsidR="00DA66E3" w:rsidRPr="00DA66E3">
              <w:rPr>
                <w:rFonts w:ascii="Times New Roman" w:hAnsi="Times New Roman"/>
                <w:sz w:val="28"/>
                <w:szCs w:val="28"/>
              </w:rPr>
              <w:t>264 506,5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2020 год – 148 315,8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7392">
              <w:rPr>
                <w:rFonts w:ascii="Times New Roman" w:hAnsi="Times New Roman"/>
                <w:sz w:val="28"/>
                <w:szCs w:val="28"/>
              </w:rPr>
              <w:t>152 028,0</w:t>
            </w:r>
            <w:r w:rsidRPr="00DA66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953EA7" w:rsidRDefault="00953EA7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953EA7" w:rsidRDefault="00953EA7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953EA7" w:rsidRDefault="00953EA7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</w:t>
      </w:r>
      <w:r w:rsidR="00C46197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рамках муниципальной программы на территории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lastRenderedPageBreak/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E0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>
          <w:rPr>
            <w:color w:val="0000FF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</w:t>
      </w:r>
      <w:r w:rsidR="00C46197">
        <w:rPr>
          <w:sz w:val="28"/>
          <w:szCs w:val="28"/>
        </w:rPr>
        <w:br/>
      </w:r>
      <w:r>
        <w:rPr>
          <w:sz w:val="28"/>
          <w:szCs w:val="28"/>
        </w:rPr>
        <w:t>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567;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 xml:space="preserve"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</w:t>
      </w:r>
      <w:r w:rsidR="00C46197">
        <w:rPr>
          <w:rFonts w:ascii="Times New Roman" w:hAnsi="Times New Roman"/>
          <w:sz w:val="28"/>
          <w:szCs w:val="28"/>
          <w:lang w:eastAsia="ru-RU"/>
        </w:rPr>
        <w:t>01.01.2017</w:t>
      </w:r>
      <w:r w:rsidRPr="00286121">
        <w:rPr>
          <w:rFonts w:ascii="Times New Roman" w:hAnsi="Times New Roman"/>
          <w:sz w:val="28"/>
          <w:szCs w:val="28"/>
          <w:lang w:eastAsia="ru-RU"/>
        </w:rPr>
        <w:t xml:space="preserve">, в соответствии с адресной программой </w:t>
      </w:r>
      <w:r w:rsidR="00C46197">
        <w:rPr>
          <w:rFonts w:ascii="Times New Roman" w:hAnsi="Times New Roman"/>
          <w:sz w:val="28"/>
          <w:szCs w:val="28"/>
          <w:lang w:eastAsia="ru-RU"/>
        </w:rPr>
        <w:br/>
      </w:r>
      <w:r w:rsidRPr="00286121">
        <w:rPr>
          <w:rFonts w:ascii="Times New Roman" w:hAnsi="Times New Roman"/>
          <w:sz w:val="28"/>
          <w:szCs w:val="28"/>
          <w:lang w:eastAsia="ru-RU"/>
        </w:rPr>
        <w:t>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r w:rsidR="00C46197">
        <w:rPr>
          <w:rFonts w:ascii="Times New Roman" w:hAnsi="Times New Roman"/>
          <w:sz w:val="28"/>
          <w:szCs w:val="28"/>
        </w:rPr>
        <w:br/>
      </w:r>
      <w:r w:rsidR="00A86798" w:rsidRPr="00A86798">
        <w:rPr>
          <w:rFonts w:ascii="Times New Roman" w:hAnsi="Times New Roman"/>
          <w:sz w:val="28"/>
          <w:szCs w:val="28"/>
        </w:rPr>
        <w:lastRenderedPageBreak/>
        <w:t xml:space="preserve">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r w:rsidR="00C46197">
        <w:rPr>
          <w:sz w:val="28"/>
          <w:szCs w:val="28"/>
        </w:rPr>
        <w:br/>
      </w:r>
      <w:r w:rsidR="00A86798" w:rsidRPr="00A86798">
        <w:rPr>
          <w:sz w:val="28"/>
          <w:szCs w:val="28"/>
        </w:rPr>
        <w:t xml:space="preserve">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проектов нормативных правовых актов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</w:t>
      </w:r>
      <w:r w:rsidRPr="00286121">
        <w:rPr>
          <w:sz w:val="28"/>
          <w:szCs w:val="28"/>
        </w:rPr>
        <w:lastRenderedPageBreak/>
        <w:t xml:space="preserve">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 xml:space="preserve">бщая площадь жилых помещений, приходящихся </w:t>
      </w:r>
      <w:r w:rsidR="00C46197">
        <w:rPr>
          <w:sz w:val="28"/>
          <w:szCs w:val="28"/>
        </w:rPr>
        <w:br/>
      </w:r>
      <w:r w:rsidR="009D7E90" w:rsidRPr="00286121">
        <w:rPr>
          <w:sz w:val="28"/>
          <w:szCs w:val="28"/>
        </w:rPr>
        <w:t>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Тюменьстата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количество граждан, расселенных из аварийного жилищного фонда, признанного таковым до </w:t>
      </w:r>
      <w:r w:rsidR="00C46197">
        <w:rPr>
          <w:sz w:val="28"/>
          <w:szCs w:val="28"/>
        </w:rPr>
        <w:t>01.01.2017</w:t>
      </w:r>
      <w:r w:rsidRPr="00286121">
        <w:rPr>
          <w:sz w:val="28"/>
          <w:szCs w:val="28"/>
        </w:rPr>
        <w:t xml:space="preserve">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 xml:space="preserve">на поставку жилых </w:t>
      </w:r>
      <w:r w:rsidR="000004BE" w:rsidRPr="000004BE">
        <w:rPr>
          <w:rFonts w:ascii="Times New Roman" w:hAnsi="Times New Roman"/>
          <w:sz w:val="28"/>
          <w:szCs w:val="28"/>
        </w:rPr>
        <w:lastRenderedPageBreak/>
        <w:t>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 xml:space="preserve">участия в долевом строительстве, в том числе с использованием счетов-эскроу;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 xml:space="preserve">2018 № 246 «О модельной муниципальной программе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о ходе реализации муниципальных программ и использовании финансовых средств в комитет по финансам администрации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опубликованию на официальном сайте администрации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 начало реализации 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46197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</w:t>
            </w:r>
            <w:r w:rsidR="00C46197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о жилищном фонде», утвержденная приказом Федеральной службы государственной статистики от </w:t>
            </w:r>
            <w:r w:rsidR="00C46197">
              <w:rPr>
                <w:rFonts w:eastAsia="Courier New"/>
                <w:sz w:val="22"/>
                <w:szCs w:val="22"/>
              </w:rPr>
              <w:t>18.07.2019</w:t>
            </w:r>
            <w:r w:rsidRPr="00CD6322">
              <w:rPr>
                <w:rFonts w:eastAsia="Courier New"/>
                <w:sz w:val="22"/>
                <w:szCs w:val="22"/>
              </w:rPr>
              <w:t xml:space="preserve"> № 414; сводные таблицы Тюменьстата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941CF4" w:rsidRDefault="002B279B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46197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</w:t>
            </w:r>
            <w:r w:rsidR="00C46197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о предоставлении гражданам жилых помещений», утвержденная приказом Федеральной службы государственной статистики от </w:t>
            </w:r>
            <w:r w:rsidR="00C46197">
              <w:rPr>
                <w:rFonts w:eastAsia="Courier New"/>
                <w:sz w:val="22"/>
                <w:szCs w:val="22"/>
              </w:rPr>
              <w:t>18.07.2019</w:t>
            </w:r>
            <w:r w:rsidRPr="00CD6322">
              <w:rPr>
                <w:rFonts w:eastAsia="Courier New"/>
                <w:sz w:val="22"/>
                <w:szCs w:val="22"/>
              </w:rPr>
              <w:t xml:space="preserve">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статистики от </w:t>
            </w:r>
            <w:r w:rsidR="00C46197">
              <w:rPr>
                <w:rFonts w:eastAsia="Courier New"/>
                <w:sz w:val="22"/>
                <w:szCs w:val="22"/>
              </w:rPr>
              <w:t>17.07.2015</w:t>
            </w:r>
            <w:r w:rsidRPr="00CD6322">
              <w:rPr>
                <w:rFonts w:eastAsia="Courier New"/>
                <w:sz w:val="22"/>
                <w:szCs w:val="22"/>
              </w:rPr>
              <w:t xml:space="preserve">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46197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 xml:space="preserve">фонда, признанного таковым до </w:t>
            </w:r>
            <w:r w:rsidR="00C46197">
              <w:rPr>
                <w:sz w:val="22"/>
                <w:szCs w:val="22"/>
              </w:rPr>
              <w:t>01.01.2017</w:t>
            </w:r>
            <w:r w:rsidRPr="00CD6322">
              <w:rPr>
                <w:sz w:val="22"/>
                <w:szCs w:val="22"/>
              </w:rPr>
              <w:t>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46197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Количество граждан, расселенных из аварийного жилищного фонда, признанного таковым до </w:t>
            </w:r>
            <w:r w:rsidR="00C46197">
              <w:rPr>
                <w:sz w:val="22"/>
                <w:szCs w:val="22"/>
              </w:rPr>
              <w:t>01.01.2017</w:t>
            </w:r>
            <w:r w:rsidRPr="00CD6322">
              <w:rPr>
                <w:sz w:val="22"/>
                <w:szCs w:val="22"/>
              </w:rPr>
              <w:t>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4" w:name="_Hlk54535296"/>
            <w:r w:rsidRPr="00CD6322">
              <w:t>Номер основного мероприя-тия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657392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657392" w:rsidRPr="00CD6322" w:rsidRDefault="00657392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357 284,0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55 537,2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52 525,1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28 368,7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323 994,3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49 404,7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47797,8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25815,5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33 289,7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6 132,5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4727,3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2553,2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 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33 289,7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6 132,5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4727,3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2553,2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57392" w:rsidRPr="00CD6322" w:rsidRDefault="00657392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2, 3, 4)</w:t>
            </w:r>
          </w:p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281 966,8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95 528,4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86 930,9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25 377,0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8 597,5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 xml:space="preserve">средства бюджета района на софинансирование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lastRenderedPageBreak/>
              <w:t>25 377,0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8 597,5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7138DE" w:rsidRPr="00CD6322" w:rsidRDefault="007138DE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639 250,8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151 065,6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52 525,1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28 368,7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580 584,1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136 335,6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47 797,8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25 815,5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2 553,2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 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2B279B" w:rsidRDefault="006B4E98" w:rsidP="00CD6322">
            <w:pPr>
              <w:jc w:val="center"/>
            </w:pPr>
            <w:r w:rsidRPr="002B279B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4 350,7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1 048,7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1 046,3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56,3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54,0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3 920,4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940,0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940,0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</w:t>
            </w:r>
            <w:r w:rsidR="00C46197">
              <w:t>31.03.2009</w:t>
            </w:r>
            <w:r w:rsidRPr="00CD6322">
              <w:t xml:space="preserve">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</w:t>
            </w:r>
            <w:r w:rsidR="00C46197">
              <w:t>12.01.1995</w:t>
            </w:r>
            <w:r w:rsidRPr="00CD6322">
              <w:t xml:space="preserve"> </w:t>
            </w:r>
          </w:p>
          <w:p w:rsidR="00724403" w:rsidRPr="00CD6322" w:rsidRDefault="00724403" w:rsidP="00C46197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="00C46197">
              <w:t>24.11.1995</w:t>
            </w:r>
            <w:r w:rsidRPr="00CD6322">
              <w:t xml:space="preserve">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</w:tr>
      <w:tr w:rsidR="00724403" w:rsidRPr="00CD6322" w:rsidTr="00C46197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5 556,7</w:t>
            </w:r>
          </w:p>
        </w:tc>
        <w:tc>
          <w:tcPr>
            <w:tcW w:w="992" w:type="dxa"/>
            <w:shd w:val="clear" w:color="auto" w:fill="auto"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945,0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</w:tcPr>
          <w:p w:rsidR="00724403" w:rsidRPr="002B279B" w:rsidRDefault="00724403" w:rsidP="00C46197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</w:tcPr>
          <w:p w:rsidR="00724403" w:rsidRPr="002B279B" w:rsidRDefault="00724403" w:rsidP="00C46197">
            <w:pPr>
              <w:jc w:val="center"/>
            </w:pPr>
            <w:r w:rsidRPr="002B279B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</w:p>
        </w:tc>
      </w:tr>
      <w:tr w:rsidR="0088233A" w:rsidRPr="00CD6322" w:rsidTr="00C46197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10 513,1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962,4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2 011,1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2 008,7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4 006,9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957,3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957,3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736,7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</w:t>
            </w:r>
            <w:r w:rsidRPr="00CD6322"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lastRenderedPageBreak/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2 553,2</w:t>
            </w:r>
          </w:p>
        </w:tc>
      </w:tr>
      <w:bookmarkEnd w:id="4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</w:t>
            </w:r>
            <w:r w:rsidR="00753FF3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</w:t>
            </w:r>
            <w:r w:rsidR="00753FF3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953EA7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2A6033" w:rsidRPr="007A1C81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</w:t>
            </w:r>
            <w:r w:rsidR="00753FF3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</w:t>
            </w:r>
            <w:r w:rsidR="00753FF3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C46197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C46197">
        <w:rPr>
          <w:sz w:val="28"/>
          <w:szCs w:val="28"/>
        </w:rPr>
        <w:tab/>
      </w:r>
      <w:r w:rsidR="00C4619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К.Р.Минулин</w:t>
      </w:r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A7" w:rsidRDefault="00953EA7" w:rsidP="007C7827">
      <w:r>
        <w:separator/>
      </w:r>
    </w:p>
  </w:endnote>
  <w:endnote w:type="continuationSeparator" w:id="0">
    <w:p w:rsidR="00953EA7" w:rsidRDefault="00953EA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A7" w:rsidRDefault="00953EA7" w:rsidP="007C7827">
      <w:r>
        <w:separator/>
      </w:r>
    </w:p>
  </w:footnote>
  <w:footnote w:type="continuationSeparator" w:id="0">
    <w:p w:rsidR="00953EA7" w:rsidRDefault="00953EA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A7" w:rsidRPr="0045468D" w:rsidRDefault="00953EA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50670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A7" w:rsidRPr="0045468D" w:rsidRDefault="00953EA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50670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DDC43BA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CE15A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CA7D4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56A3B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A433D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5AFA5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4A700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30604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4E775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2F182B0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2F182B0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EB89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C2B2D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EAE5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DCAA1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00FC8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C0F37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8959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8210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2F182B0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EB89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C2B2D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EAE5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DCAA1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00FC8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C0F37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8959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8210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2F182B0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EB89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C2B2D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EAE5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DCAA1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00FC8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C0F37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8959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8210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BD1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D6F45"/>
    <w:rsid w:val="003E15E6"/>
    <w:rsid w:val="003E1A49"/>
    <w:rsid w:val="003E23F5"/>
    <w:rsid w:val="003E5884"/>
    <w:rsid w:val="003E6094"/>
    <w:rsid w:val="003E67AF"/>
    <w:rsid w:val="003F1E7A"/>
    <w:rsid w:val="003F1F39"/>
    <w:rsid w:val="003F28EE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4856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3EA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670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1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597A-1A2F-4890-BB0C-E383801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562E-1E87-4DEB-8320-0AE18181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2022-01-24T11:39:00Z</cp:lastPrinted>
  <dcterms:created xsi:type="dcterms:W3CDTF">2022-01-27T06:48:00Z</dcterms:created>
  <dcterms:modified xsi:type="dcterms:W3CDTF">2022-01-27T06:48:00Z</dcterms:modified>
</cp:coreProperties>
</file>